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68" w:rsidRDefault="001E2868" w:rsidP="001E2868">
      <w:pPr>
        <w:jc w:val="both"/>
        <w:rPr>
          <w:rFonts w:ascii="Arial" w:hAnsi="Arial" w:cs="Arial"/>
          <w:snapToGrid/>
          <w:sz w:val="26"/>
          <w:szCs w:val="26"/>
        </w:rPr>
      </w:pPr>
    </w:p>
    <w:p w:rsidR="001E2868" w:rsidRDefault="001E2868" w:rsidP="001E286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b/>
          <w:i/>
          <w:sz w:val="28"/>
          <w:szCs w:val="28"/>
        </w:rPr>
      </w:pPr>
      <w:r w:rsidRPr="000338C2">
        <w:rPr>
          <w:rFonts w:ascii="Arial" w:hAnsi="Arial" w:cs="Arial"/>
          <w:b/>
          <w:i/>
          <w:sz w:val="28"/>
          <w:szCs w:val="28"/>
        </w:rPr>
        <w:t xml:space="preserve">Pronájem </w:t>
      </w:r>
      <w:r w:rsidRPr="00275030">
        <w:rPr>
          <w:rFonts w:ascii="Arial" w:hAnsi="Arial" w:cs="Arial"/>
          <w:b/>
          <w:i/>
          <w:sz w:val="28"/>
          <w:szCs w:val="28"/>
        </w:rPr>
        <w:t>bytů</w:t>
      </w:r>
      <w:r w:rsidRPr="000338C2">
        <w:rPr>
          <w:rFonts w:ascii="Arial" w:hAnsi="Arial" w:cs="Arial"/>
          <w:b/>
          <w:i/>
          <w:sz w:val="28"/>
          <w:szCs w:val="28"/>
        </w:rPr>
        <w:t xml:space="preserve"> sociálně potřebným občanům, nestátním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0338C2">
        <w:rPr>
          <w:rFonts w:ascii="Arial" w:hAnsi="Arial" w:cs="Arial"/>
          <w:b/>
          <w:i/>
          <w:sz w:val="28"/>
          <w:szCs w:val="28"/>
        </w:rPr>
        <w:t>organizacím</w:t>
      </w:r>
    </w:p>
    <w:p w:rsidR="001E2868" w:rsidRDefault="001E2868" w:rsidP="001E286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E2868" w:rsidRDefault="001E2868" w:rsidP="001E286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E2868" w:rsidRPr="000338C2" w:rsidRDefault="001E2868" w:rsidP="001E286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2. 1 </w:t>
      </w:r>
      <w:r w:rsidRPr="000338C2">
        <w:rPr>
          <w:rFonts w:ascii="Arial" w:hAnsi="Arial" w:cs="Arial"/>
          <w:b/>
          <w:i/>
        </w:rPr>
        <w:t>Pronájem bytů sociálně potřebným občanům</w:t>
      </w:r>
    </w:p>
    <w:p w:rsidR="001E2868" w:rsidRDefault="001E2868" w:rsidP="001E2868">
      <w:pPr>
        <w:pStyle w:val="Zkladntext"/>
        <w:rPr>
          <w:b/>
          <w:sz w:val="20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1</w:t>
      </w: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pStyle w:val="Zkladntextodsazen3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odst. 1.</w:t>
      </w:r>
      <w:r w:rsidRPr="000338C2">
        <w:rPr>
          <w:rFonts w:ascii="Arial" w:hAnsi="Arial" w:cs="Arial"/>
          <w:sz w:val="24"/>
          <w:szCs w:val="24"/>
        </w:rPr>
        <w:tab/>
        <w:t>Žadatel/žadatelka/žadatelé musí splňovat tyto podmínky: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být občanem České republiky</w:t>
      </w:r>
    </w:p>
    <w:p w:rsidR="003350FD" w:rsidRDefault="003350FD" w:rsidP="003350FD">
      <w:pPr>
        <w:pStyle w:val="Odstavecseseznamem"/>
        <w:numPr>
          <w:ilvl w:val="0"/>
          <w:numId w:val="2"/>
        </w:numPr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snapToGrid/>
          <w:lang w:eastAsia="en-US"/>
        </w:rPr>
      </w:pPr>
      <w:r>
        <w:rPr>
          <w:rFonts w:ascii="Arial" w:eastAsiaTheme="minorHAnsi" w:hAnsi="Arial" w:cs="Arial"/>
          <w:snapToGrid/>
          <w:lang w:eastAsia="en-US"/>
        </w:rPr>
        <w:t xml:space="preserve">   v době podání žádosti být hlášen k trvalému pobytu na adrese na území   </w:t>
      </w:r>
    </w:p>
    <w:p w:rsidR="003350FD" w:rsidRDefault="003350FD" w:rsidP="003350FD">
      <w:pPr>
        <w:pStyle w:val="Odstavecseseznamem"/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snapToGrid/>
          <w:lang w:eastAsia="en-US"/>
        </w:rPr>
      </w:pPr>
      <w:r>
        <w:rPr>
          <w:rFonts w:ascii="Arial" w:eastAsiaTheme="minorHAnsi" w:hAnsi="Arial" w:cs="Arial"/>
          <w:snapToGrid/>
          <w:lang w:eastAsia="en-US"/>
        </w:rPr>
        <w:t xml:space="preserve">   městské části Praha 6 minimálně po dobu tří let a zároveň zde  </w:t>
      </w:r>
    </w:p>
    <w:p w:rsidR="003350FD" w:rsidRDefault="003350FD" w:rsidP="003350FD">
      <w:pPr>
        <w:pStyle w:val="Odstavecseseznamem"/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snapToGrid/>
          <w:lang w:eastAsia="en-US"/>
        </w:rPr>
      </w:pPr>
      <w:r>
        <w:rPr>
          <w:rFonts w:ascii="Arial" w:eastAsiaTheme="minorHAnsi" w:hAnsi="Arial" w:cs="Arial"/>
          <w:snapToGrid/>
          <w:lang w:eastAsia="en-US"/>
        </w:rPr>
        <w:t xml:space="preserve">   v posledních třech letech bydlet i fakticky, s výjimkou případů zvlášť  </w:t>
      </w:r>
    </w:p>
    <w:p w:rsidR="003350FD" w:rsidRDefault="003350FD" w:rsidP="003350FD">
      <w:pPr>
        <w:pStyle w:val="Odstavecseseznamem"/>
        <w:autoSpaceDE w:val="0"/>
        <w:autoSpaceDN w:val="0"/>
        <w:adjustRightInd w:val="0"/>
        <w:ind w:left="927"/>
        <w:jc w:val="both"/>
        <w:rPr>
          <w:rFonts w:ascii="Arial" w:eastAsiaTheme="minorHAnsi" w:hAnsi="Arial" w:cs="Arial"/>
          <w:snapToGrid/>
          <w:lang w:eastAsia="en-US"/>
        </w:rPr>
      </w:pPr>
      <w:r>
        <w:rPr>
          <w:rFonts w:ascii="Arial" w:eastAsiaTheme="minorHAnsi" w:hAnsi="Arial" w:cs="Arial"/>
          <w:snapToGrid/>
          <w:lang w:eastAsia="en-US"/>
        </w:rPr>
        <w:t xml:space="preserve">   hodného zřetele</w:t>
      </w:r>
      <w:bookmarkStart w:id="0" w:name="_GoBack"/>
      <w:bookmarkEnd w:id="0"/>
    </w:p>
    <w:p w:rsidR="001E2868" w:rsidRPr="006B7E43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B7E43">
        <w:rPr>
          <w:rFonts w:ascii="Arial" w:hAnsi="Arial" w:cs="Arial"/>
          <w:sz w:val="24"/>
          <w:szCs w:val="24"/>
        </w:rPr>
        <w:t>neúčast při prodeji bytů z majetku státu nebo obce (neúčast všech členů domácnosti a všech příbuzných v linii přímé nebydlících ve společné domácnosti bude posuzována ad hoc zejména s ohledem na skutečnost zda žadatel prokáže, že příbuzní v linii přímé nejsou schopni žadateli pomoci)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není vlastníkem ani spoluvlastníkem žádného nemovitého majetku určeného k bydlení, není členem žádného bytového družstva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hodnota movitého majetku nepřesahuje 1 mil. Kč, hodnota nemovitého majetku všech členů domácnosti žadatele nepřesahuje 1 mil. Kč, hodnota nemovitého majetku příbuzných v linii přímé nepřesahuje 5 mil. Kč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čistý příjem žadatele (resp. všech žadatelů) nepřesahuje součet 2,5 násobku životního minima a normativních nákladů na bydlení pro nájemní byty v Praze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ocitl se nikoliv vlastní vinou v obtížné sociálně bytové situaci a není schopen ji řešit vlastní silou</w:t>
      </w:r>
    </w:p>
    <w:p w:rsidR="001E2868" w:rsidRPr="000338C2" w:rsidRDefault="001E2868" w:rsidP="001E2868">
      <w:pPr>
        <w:pStyle w:val="Zkladntextodsazen3"/>
        <w:numPr>
          <w:ilvl w:val="0"/>
          <w:numId w:val="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nemá žádné závazky vůči Městské části Praha 6 nebo má uzavřenou splátkovou dohodu, kterou řádně plní</w:t>
      </w:r>
    </w:p>
    <w:p w:rsidR="001E2868" w:rsidRPr="000338C2" w:rsidRDefault="001E2868" w:rsidP="001E2868">
      <w:pPr>
        <w:pStyle w:val="Zkladntextodsazen3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2</w:t>
      </w:r>
    </w:p>
    <w:p w:rsidR="001E2868" w:rsidRPr="000338C2" w:rsidRDefault="001E2868" w:rsidP="001E2868">
      <w:pPr>
        <w:pStyle w:val="Zkladntextodsazen3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odst. 1.</w:t>
      </w:r>
      <w:r w:rsidRPr="000338C2">
        <w:rPr>
          <w:rFonts w:ascii="Arial" w:hAnsi="Arial" w:cs="Arial"/>
          <w:sz w:val="24"/>
          <w:szCs w:val="24"/>
        </w:rPr>
        <w:tab/>
        <w:t>Podmínky pronájmu bytu:</w:t>
      </w:r>
    </w:p>
    <w:p w:rsidR="001E2868" w:rsidRPr="000338C2" w:rsidRDefault="001E2868" w:rsidP="001E2868">
      <w:pPr>
        <w:pStyle w:val="Zkladntextodsazen3"/>
        <w:numPr>
          <w:ilvl w:val="0"/>
          <w:numId w:val="3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nájemní smlouva se uzavírá na dobu určitou, nejvýše 1 rok;  v případech hodných zřetele (např. invalidita, věk, …) je možné pronajmout byt na dobu delší</w:t>
      </w:r>
    </w:p>
    <w:p w:rsidR="001E2868" w:rsidRPr="000338C2" w:rsidRDefault="001E2868" w:rsidP="001E2868">
      <w:pPr>
        <w:pStyle w:val="Zkladntextodsazen3"/>
        <w:numPr>
          <w:ilvl w:val="0"/>
          <w:numId w:val="3"/>
        </w:numPr>
        <w:tabs>
          <w:tab w:val="clear" w:pos="360"/>
          <w:tab w:val="num" w:pos="1134"/>
        </w:tabs>
        <w:spacing w:after="0"/>
        <w:ind w:left="92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celková doba pronájmu nesmí přesáhnout 5 let, s výjimkou případů </w:t>
      </w:r>
      <w:r>
        <w:rPr>
          <w:rFonts w:ascii="Arial" w:hAnsi="Arial" w:cs="Arial"/>
          <w:sz w:val="24"/>
          <w:szCs w:val="24"/>
        </w:rPr>
        <w:tab/>
      </w:r>
      <w:r w:rsidRPr="000338C2">
        <w:rPr>
          <w:rFonts w:ascii="Arial" w:hAnsi="Arial" w:cs="Arial"/>
          <w:sz w:val="24"/>
          <w:szCs w:val="24"/>
        </w:rPr>
        <w:t>hodných zřetele</w:t>
      </w:r>
    </w:p>
    <w:p w:rsidR="001E2868" w:rsidRPr="000338C2" w:rsidRDefault="001E2868" w:rsidP="001E2868">
      <w:pPr>
        <w:pStyle w:val="Zkladntextodsazen3"/>
        <w:numPr>
          <w:ilvl w:val="0"/>
          <w:numId w:val="3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nájemné je stanoveno dle usnesení Rady městské části Praha 6 v platném znění</w:t>
      </w:r>
    </w:p>
    <w:p w:rsidR="001E2868" w:rsidRPr="000338C2" w:rsidRDefault="001E2868" w:rsidP="001E2868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3</w:t>
      </w:r>
    </w:p>
    <w:p w:rsidR="001E2868" w:rsidRPr="000338C2" w:rsidRDefault="001E2868" w:rsidP="001E2868">
      <w:pPr>
        <w:pStyle w:val="Zkladntextodsazen3"/>
        <w:ind w:left="0" w:firstLine="426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odst. 1.</w:t>
      </w:r>
      <w:r w:rsidRPr="000338C2">
        <w:rPr>
          <w:rFonts w:ascii="Arial" w:hAnsi="Arial" w:cs="Arial"/>
          <w:sz w:val="24"/>
          <w:szCs w:val="24"/>
        </w:rPr>
        <w:tab/>
        <w:t>Žadatel/žadatelka/žadatelé doloží: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lastRenderedPageBreak/>
        <w:t>řádně vyplněný formulář (Žádost o pronájem bytu ze sociálních důvodů)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fotokopii občanského průkazu (obě strany)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stručný popis sociálně bytové situace žadatele a příslušníků jeho domácnosti, s </w:t>
      </w:r>
      <w:proofErr w:type="gramStart"/>
      <w:r w:rsidRPr="000338C2">
        <w:rPr>
          <w:rFonts w:ascii="Arial" w:hAnsi="Arial" w:cs="Arial"/>
          <w:sz w:val="24"/>
          <w:szCs w:val="24"/>
        </w:rPr>
        <w:t>kterými     chce</w:t>
      </w:r>
      <w:proofErr w:type="gramEnd"/>
      <w:r w:rsidRPr="000338C2">
        <w:rPr>
          <w:rFonts w:ascii="Arial" w:hAnsi="Arial" w:cs="Arial"/>
          <w:sz w:val="24"/>
          <w:szCs w:val="24"/>
        </w:rPr>
        <w:t xml:space="preserve"> bydlet v bytě, o jehož pronájem žádá, na zvláštním přiloženém listě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993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  doklady o sociálních poměrech žadatele a příslušníků jeho domácnosti, s kterými chce bydlet v bytě, o jehož pronájem žádá (zprávy oddělení péče o rodinu, děti a mládež a oddělení sociální</w:t>
      </w:r>
      <w:r>
        <w:rPr>
          <w:rFonts w:ascii="Arial" w:hAnsi="Arial" w:cs="Arial"/>
          <w:sz w:val="24"/>
          <w:szCs w:val="24"/>
        </w:rPr>
        <w:t xml:space="preserve"> péče a</w:t>
      </w:r>
      <w:r w:rsidRPr="000338C2">
        <w:rPr>
          <w:rFonts w:ascii="Arial" w:hAnsi="Arial" w:cs="Arial"/>
          <w:sz w:val="24"/>
          <w:szCs w:val="24"/>
        </w:rPr>
        <w:t xml:space="preserve"> prevence, rozsudky soudů v záležitostech úpravy vztahů k bývalému </w:t>
      </w:r>
      <w:proofErr w:type="gramStart"/>
      <w:r w:rsidRPr="000338C2">
        <w:rPr>
          <w:rFonts w:ascii="Arial" w:hAnsi="Arial" w:cs="Arial"/>
          <w:sz w:val="24"/>
          <w:szCs w:val="24"/>
        </w:rPr>
        <w:t>manželovi(</w:t>
      </w:r>
      <w:proofErr w:type="spellStart"/>
      <w:r w:rsidRPr="000338C2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0338C2">
        <w:rPr>
          <w:rFonts w:ascii="Arial" w:hAnsi="Arial" w:cs="Arial"/>
          <w:sz w:val="24"/>
          <w:szCs w:val="24"/>
        </w:rPr>
        <w:t>) a k dětem apod.)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doklady o bytových poměrech v bytě na adrese trvalého bydliště žadatele, v bytě, kde žadatel skutečně bydlí (pokud je odlišný od předchozího), v bytě na adrese trvalého bydliště manžela/</w:t>
      </w:r>
      <w:proofErr w:type="spellStart"/>
      <w:r w:rsidRPr="000338C2">
        <w:rPr>
          <w:rFonts w:ascii="Arial" w:hAnsi="Arial" w:cs="Arial"/>
          <w:sz w:val="24"/>
          <w:szCs w:val="24"/>
        </w:rPr>
        <w:t>ky</w:t>
      </w:r>
      <w:proofErr w:type="spellEnd"/>
      <w:r w:rsidRPr="000338C2">
        <w:rPr>
          <w:rFonts w:ascii="Arial" w:hAnsi="Arial" w:cs="Arial"/>
          <w:sz w:val="24"/>
          <w:szCs w:val="24"/>
        </w:rPr>
        <w:t xml:space="preserve"> (druha/družky) (pokud je odlišný od předchozích), popř. v bytě, kde skutečně bydlí, a, nebydlí-li žadatel/</w:t>
      </w:r>
      <w:proofErr w:type="spellStart"/>
      <w:r w:rsidRPr="000338C2">
        <w:rPr>
          <w:rFonts w:ascii="Arial" w:hAnsi="Arial" w:cs="Arial"/>
          <w:sz w:val="24"/>
          <w:szCs w:val="24"/>
        </w:rPr>
        <w:t>ka</w:t>
      </w:r>
      <w:proofErr w:type="spellEnd"/>
      <w:r w:rsidRPr="000338C2">
        <w:rPr>
          <w:rFonts w:ascii="Arial" w:hAnsi="Arial" w:cs="Arial"/>
          <w:sz w:val="24"/>
          <w:szCs w:val="24"/>
        </w:rPr>
        <w:t>, jeho (její) manžel/</w:t>
      </w:r>
      <w:proofErr w:type="spellStart"/>
      <w:r w:rsidRPr="000338C2">
        <w:rPr>
          <w:rFonts w:ascii="Arial" w:hAnsi="Arial" w:cs="Arial"/>
          <w:sz w:val="24"/>
          <w:szCs w:val="24"/>
        </w:rPr>
        <w:t>ka</w:t>
      </w:r>
      <w:proofErr w:type="spellEnd"/>
      <w:r w:rsidRPr="000338C2">
        <w:rPr>
          <w:rFonts w:ascii="Arial" w:hAnsi="Arial" w:cs="Arial"/>
          <w:sz w:val="24"/>
          <w:szCs w:val="24"/>
        </w:rPr>
        <w:t xml:space="preserve"> (druh/družka) u svých rodičů, i v bytě jejich rodičů (tzn. fotokopie nájemních smluv a příslušné nejnovější evidenční listy s údaji o umístění, kategorii a podlahové ploše bytu, počtu místností v bytě, jejich podlahové ploše, osobách hlášených v bytě, nájemném a zálohách na služby </w:t>
      </w:r>
      <w:proofErr w:type="gramStart"/>
      <w:r w:rsidRPr="000338C2">
        <w:rPr>
          <w:rFonts w:ascii="Arial" w:hAnsi="Arial" w:cs="Arial"/>
          <w:sz w:val="24"/>
          <w:szCs w:val="24"/>
        </w:rPr>
        <w:t>spoj. s bydlením</w:t>
      </w:r>
      <w:proofErr w:type="gramEnd"/>
      <w:r w:rsidRPr="000338C2">
        <w:rPr>
          <w:rFonts w:ascii="Arial" w:hAnsi="Arial" w:cs="Arial"/>
          <w:sz w:val="24"/>
          <w:szCs w:val="24"/>
        </w:rPr>
        <w:t>, době pronájmu, rozsudky soudů v bytových záležitostech, apod.)</w:t>
      </w:r>
    </w:p>
    <w:p w:rsidR="001E2868" w:rsidRPr="000338C2" w:rsidRDefault="001E2868" w:rsidP="001E2868">
      <w:pPr>
        <w:pStyle w:val="Textvbloku"/>
        <w:numPr>
          <w:ilvl w:val="0"/>
          <w:numId w:val="4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>doklady o veškerých čistých měsíčních příjmech žadatele a příslušníků jeho domácnosti, s kterými chce bydlet v bytě, o jehož pronájem žádá (tzn. potvrzení o příjmech a pracovním zařazení od zaměstnavatelů, kopie podaných daňových přiznání, doklady o výši důchodů, doklady o veškerých pobíraných dávkách a příspěvcích, doklady o výživném, apod.) za uplynulé období nejméně 12 měsíců, popř. v případě nezaměstnaných ucha</w:t>
      </w:r>
      <w:r>
        <w:rPr>
          <w:sz w:val="24"/>
          <w:szCs w:val="24"/>
        </w:rPr>
        <w:t>zečů o zaměstnání potvrzení od ú</w:t>
      </w:r>
      <w:r w:rsidRPr="000338C2">
        <w:rPr>
          <w:sz w:val="24"/>
          <w:szCs w:val="24"/>
        </w:rPr>
        <w:t>řadu práce</w:t>
      </w:r>
    </w:p>
    <w:p w:rsidR="001E2868" w:rsidRPr="000338C2" w:rsidRDefault="001E2868" w:rsidP="001E2868">
      <w:pPr>
        <w:pStyle w:val="Textvbloku"/>
        <w:numPr>
          <w:ilvl w:val="0"/>
          <w:numId w:val="4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 xml:space="preserve">doklady o majetkových poměrech žadatele a </w:t>
      </w:r>
      <w:r w:rsidRPr="00840857">
        <w:rPr>
          <w:sz w:val="24"/>
          <w:szCs w:val="24"/>
        </w:rPr>
        <w:t>příslušníků</w:t>
      </w:r>
      <w:r w:rsidRPr="000338C2">
        <w:rPr>
          <w:sz w:val="24"/>
          <w:szCs w:val="24"/>
        </w:rPr>
        <w:t xml:space="preserve"> jeho domácnosti, s kterými chce bydlet v bytě, o jehož pronájem žádá (výpisy z katastru nemovitostí, kupní smlouvy, rozsudky soudů v majetkových záležitostech při rozvodu manželů, apod.)</w:t>
      </w:r>
    </w:p>
    <w:p w:rsidR="001E2868" w:rsidRPr="000338C2" w:rsidRDefault="001E2868" w:rsidP="001E2868">
      <w:pPr>
        <w:pStyle w:val="Textvbloku"/>
        <w:numPr>
          <w:ilvl w:val="0"/>
          <w:numId w:val="4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>doklady o zdravotním stavu žadatele a příslušníků jeho domácnosti, s kterými chce bydlet v bytě, o jehož pronájem žádá, příp. i osob, s nimiž tito dosud bydlí, pokud to má vliv na posouzení sociálně bytové situace žadatele (invalidita úplná nebo částečná, průkaz ZTP; odborné lékařské posudky)</w:t>
      </w:r>
    </w:p>
    <w:p w:rsidR="001E2868" w:rsidRPr="000338C2" w:rsidRDefault="001E2868" w:rsidP="001E2868">
      <w:pPr>
        <w:pStyle w:val="Textvbloku"/>
        <w:numPr>
          <w:ilvl w:val="0"/>
          <w:numId w:val="4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>úředně ověřené podpisy všech osob starších 18 let majících v dosud u</w:t>
      </w:r>
      <w:r>
        <w:rPr>
          <w:sz w:val="24"/>
          <w:szCs w:val="24"/>
        </w:rPr>
        <w:t xml:space="preserve">žívaném </w:t>
      </w:r>
      <w:proofErr w:type="gramStart"/>
      <w:r>
        <w:rPr>
          <w:sz w:val="24"/>
          <w:szCs w:val="24"/>
        </w:rPr>
        <w:t>bytě  trvalé</w:t>
      </w:r>
      <w:proofErr w:type="gramEnd"/>
      <w:r>
        <w:rPr>
          <w:sz w:val="24"/>
          <w:szCs w:val="24"/>
        </w:rPr>
        <w:t xml:space="preserve"> </w:t>
      </w:r>
      <w:r w:rsidRPr="000338C2">
        <w:rPr>
          <w:sz w:val="24"/>
          <w:szCs w:val="24"/>
        </w:rPr>
        <w:t xml:space="preserve"> bydliště – ne starší, než 1 měsíc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výpis vlastnictví nemovitého majetku v</w:t>
      </w:r>
      <w:r>
        <w:rPr>
          <w:rFonts w:ascii="Arial" w:hAnsi="Arial" w:cs="Arial"/>
          <w:sz w:val="24"/>
          <w:szCs w:val="24"/>
        </w:rPr>
        <w:t> </w:t>
      </w:r>
      <w:r w:rsidRPr="000338C2">
        <w:rPr>
          <w:rFonts w:ascii="Arial" w:hAnsi="Arial" w:cs="Arial"/>
          <w:sz w:val="24"/>
          <w:szCs w:val="24"/>
        </w:rPr>
        <w:t>ČR</w:t>
      </w:r>
      <w:r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0338C2">
        <w:rPr>
          <w:rFonts w:ascii="Arial" w:hAnsi="Arial" w:cs="Arial"/>
          <w:sz w:val="24"/>
          <w:szCs w:val="24"/>
        </w:rPr>
        <w:t>– ne starší než 1 měsíc</w:t>
      </w:r>
    </w:p>
    <w:p w:rsidR="001E2868" w:rsidRPr="000338C2" w:rsidRDefault="001E2868" w:rsidP="001E2868">
      <w:pPr>
        <w:pStyle w:val="Zkladntextodsazen3"/>
        <w:numPr>
          <w:ilvl w:val="0"/>
          <w:numId w:val="4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případně další podklady, </w:t>
      </w:r>
      <w:proofErr w:type="gramStart"/>
      <w:r w:rsidRPr="000338C2">
        <w:rPr>
          <w:rFonts w:ascii="Arial" w:hAnsi="Arial" w:cs="Arial"/>
          <w:sz w:val="24"/>
          <w:szCs w:val="24"/>
        </w:rPr>
        <w:t>které  mohou</w:t>
      </w:r>
      <w:proofErr w:type="gramEnd"/>
      <w:r w:rsidRPr="000338C2">
        <w:rPr>
          <w:rFonts w:ascii="Arial" w:hAnsi="Arial" w:cs="Arial"/>
          <w:sz w:val="24"/>
          <w:szCs w:val="24"/>
        </w:rPr>
        <w:t xml:space="preserve"> ovlivnit  rozhodování Komise  pro sociálně bytové</w:t>
      </w:r>
      <w:r>
        <w:rPr>
          <w:rFonts w:ascii="Arial" w:hAnsi="Arial" w:cs="Arial"/>
          <w:sz w:val="24"/>
          <w:szCs w:val="24"/>
        </w:rPr>
        <w:t xml:space="preserve"> </w:t>
      </w:r>
      <w:r w:rsidRPr="000338C2">
        <w:rPr>
          <w:rFonts w:ascii="Arial" w:hAnsi="Arial" w:cs="Arial"/>
          <w:sz w:val="24"/>
          <w:szCs w:val="24"/>
        </w:rPr>
        <w:t>otázky a Rady městské části Praha 6, nebo o které je požádán.</w:t>
      </w:r>
    </w:p>
    <w:p w:rsidR="001E2868" w:rsidRDefault="001E2868" w:rsidP="001E2868">
      <w:pPr>
        <w:pStyle w:val="Zkladntextodsazen3"/>
        <w:jc w:val="center"/>
        <w:rPr>
          <w:szCs w:val="22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4</w:t>
      </w: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ind w:left="240"/>
        <w:jc w:val="both"/>
        <w:rPr>
          <w:rFonts w:ascii="Arial" w:hAnsi="Arial" w:cs="Arial"/>
        </w:rPr>
      </w:pPr>
      <w:r w:rsidRPr="000338C2">
        <w:rPr>
          <w:rFonts w:ascii="Arial" w:hAnsi="Arial" w:cs="Arial"/>
        </w:rPr>
        <w:t xml:space="preserve">odst. 1. Vyplněný formulář společně s požadovanými doklady se předá Odboru sociálních věcí Úřadu městské části Praha 6. Žadatelé mohou být vyzváni </w:t>
      </w:r>
      <w:r w:rsidRPr="000338C2">
        <w:rPr>
          <w:rFonts w:ascii="Arial" w:hAnsi="Arial" w:cs="Arial"/>
        </w:rPr>
        <w:lastRenderedPageBreak/>
        <w:t>k osobnímu projednání jejich žádosti. Závěry z osobního jednání budou podkladem pro jednání komise. Pokud se žadatel bez vážných důvodů nedostaví na jednání, na které bude pozván, můž</w:t>
      </w:r>
      <w:r>
        <w:rPr>
          <w:rFonts w:ascii="Arial" w:hAnsi="Arial" w:cs="Arial"/>
        </w:rPr>
        <w:t xml:space="preserve">e to být důvodem pro </w:t>
      </w:r>
      <w:proofErr w:type="spellStart"/>
      <w:proofErr w:type="gramStart"/>
      <w:r w:rsidRPr="00846DAE">
        <w:rPr>
          <w:rFonts w:ascii="Arial" w:hAnsi="Arial" w:cs="Arial"/>
        </w:rPr>
        <w:t>nepronajmutí</w:t>
      </w:r>
      <w:proofErr w:type="spellEnd"/>
      <w:r w:rsidRPr="000338C2">
        <w:rPr>
          <w:rFonts w:ascii="Arial" w:hAnsi="Arial" w:cs="Arial"/>
        </w:rPr>
        <w:t xml:space="preserve"> bytu</w:t>
      </w:r>
      <w:proofErr w:type="gramEnd"/>
      <w:r w:rsidRPr="000338C2">
        <w:rPr>
          <w:rFonts w:ascii="Arial" w:hAnsi="Arial" w:cs="Arial"/>
        </w:rPr>
        <w:t>.</w:t>
      </w:r>
    </w:p>
    <w:p w:rsidR="001E2868" w:rsidRPr="000338C2" w:rsidRDefault="001E2868" w:rsidP="001E2868">
      <w:pPr>
        <w:pStyle w:val="Zkladntextodsazen3"/>
        <w:jc w:val="both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pStyle w:val="Zkladntextodsazen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odst. 2 Pokud </w:t>
      </w:r>
      <w:r w:rsidRPr="00652110">
        <w:rPr>
          <w:rFonts w:ascii="Arial" w:hAnsi="Arial" w:cs="Arial"/>
          <w:sz w:val="24"/>
          <w:szCs w:val="24"/>
        </w:rPr>
        <w:t>žadatel ani po výzvě odboru sociálních věcí ve stanovené lhůtě</w:t>
      </w:r>
      <w:r>
        <w:rPr>
          <w:rFonts w:ascii="Arial" w:hAnsi="Arial" w:cs="Arial"/>
          <w:sz w:val="24"/>
          <w:szCs w:val="24"/>
        </w:rPr>
        <w:t xml:space="preserve"> </w:t>
      </w:r>
      <w:r w:rsidRPr="000338C2">
        <w:rPr>
          <w:rFonts w:ascii="Arial" w:hAnsi="Arial" w:cs="Arial"/>
          <w:sz w:val="24"/>
          <w:szCs w:val="24"/>
        </w:rPr>
        <w:t>nedoloží řádně</w:t>
      </w:r>
      <w:r>
        <w:rPr>
          <w:rFonts w:ascii="Arial" w:hAnsi="Arial" w:cs="Arial"/>
          <w:sz w:val="24"/>
          <w:szCs w:val="24"/>
        </w:rPr>
        <w:t xml:space="preserve"> vyplněný formulář včetně všech </w:t>
      </w:r>
      <w:r w:rsidRPr="000338C2">
        <w:rPr>
          <w:rFonts w:ascii="Arial" w:hAnsi="Arial" w:cs="Arial"/>
          <w:sz w:val="24"/>
          <w:szCs w:val="24"/>
        </w:rPr>
        <w:t>požadovaných dokladů, nebude žádost projednávána.</w:t>
      </w:r>
    </w:p>
    <w:p w:rsidR="001E2868" w:rsidRDefault="001E2868" w:rsidP="001E2868">
      <w:pPr>
        <w:pStyle w:val="Zkladntextodsazen3"/>
        <w:ind w:left="0"/>
        <w:rPr>
          <w:szCs w:val="22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5</w:t>
      </w:r>
    </w:p>
    <w:p w:rsidR="001E2868" w:rsidRPr="000338C2" w:rsidRDefault="001E2868" w:rsidP="001E2868">
      <w:pPr>
        <w:pStyle w:val="Zkladntextodsazen3"/>
        <w:ind w:left="0"/>
        <w:jc w:val="center"/>
        <w:rPr>
          <w:rFonts w:ascii="Arial" w:hAnsi="Arial" w:cs="Arial"/>
          <w:sz w:val="24"/>
          <w:szCs w:val="24"/>
        </w:rPr>
      </w:pPr>
    </w:p>
    <w:p w:rsidR="001E2868" w:rsidRPr="0024372B" w:rsidRDefault="001E2868" w:rsidP="001E2868">
      <w:pPr>
        <w:pStyle w:val="Zkladntextodsazen3"/>
        <w:rPr>
          <w:rFonts w:ascii="Arial" w:hAnsi="Arial" w:cs="Arial"/>
          <w:sz w:val="24"/>
          <w:szCs w:val="24"/>
        </w:rPr>
      </w:pPr>
      <w:r w:rsidRPr="0024372B">
        <w:rPr>
          <w:rFonts w:ascii="Arial" w:hAnsi="Arial" w:cs="Arial"/>
          <w:sz w:val="24"/>
          <w:szCs w:val="24"/>
        </w:rPr>
        <w:t>odst. 1.  Kompletní žádosti budou vyhodnoceny Komisí pro sociálně bytové otázky Rady městské části Praha 6 a následně Radou městské části Praha 6.</w:t>
      </w:r>
    </w:p>
    <w:p w:rsidR="001E2868" w:rsidRPr="009A15EC" w:rsidRDefault="001E2868" w:rsidP="001E2868">
      <w:pPr>
        <w:pStyle w:val="Zkladntextodsazen3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6</w:t>
      </w:r>
    </w:p>
    <w:p w:rsidR="001E2868" w:rsidRPr="000338C2" w:rsidRDefault="001E2868" w:rsidP="001E2868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1E2868" w:rsidRPr="000338C2" w:rsidRDefault="001E2868" w:rsidP="001E2868">
      <w:pPr>
        <w:ind w:left="426"/>
        <w:jc w:val="both"/>
        <w:rPr>
          <w:rFonts w:ascii="Arial" w:hAnsi="Arial" w:cs="Arial"/>
          <w:i/>
        </w:rPr>
      </w:pPr>
      <w:r w:rsidRPr="000338C2">
        <w:rPr>
          <w:rFonts w:ascii="Arial" w:hAnsi="Arial" w:cs="Arial"/>
        </w:rPr>
        <w:t>odst. 1.  V případě, že Rada městské části Praha 6 schválí proná</w:t>
      </w:r>
      <w:r>
        <w:rPr>
          <w:rFonts w:ascii="Arial" w:hAnsi="Arial" w:cs="Arial"/>
        </w:rPr>
        <w:t>jem bytu ze sociálních důvodů, o</w:t>
      </w:r>
      <w:r w:rsidRPr="000338C2">
        <w:rPr>
          <w:rFonts w:ascii="Arial" w:hAnsi="Arial" w:cs="Arial"/>
        </w:rPr>
        <w:t>dbor sociálních věcí postoupí žádo</w:t>
      </w:r>
      <w:r>
        <w:rPr>
          <w:rFonts w:ascii="Arial" w:hAnsi="Arial" w:cs="Arial"/>
        </w:rPr>
        <w:t>st spolu s přiloženými doklady o</w:t>
      </w:r>
      <w:r w:rsidRPr="000338C2">
        <w:rPr>
          <w:rFonts w:ascii="Arial" w:hAnsi="Arial" w:cs="Arial"/>
        </w:rPr>
        <w:t>dboru správy obecního majetku, který žadateli nabídne pronájem pouze jedné bytové jednotky. Pokud ji žadatel bez vážných nebo nepod</w:t>
      </w:r>
      <w:r>
        <w:rPr>
          <w:rFonts w:ascii="Arial" w:hAnsi="Arial" w:cs="Arial"/>
        </w:rPr>
        <w:t>ložených důvodů odmítne, předá o</w:t>
      </w:r>
      <w:r w:rsidRPr="000338C2">
        <w:rPr>
          <w:rFonts w:ascii="Arial" w:hAnsi="Arial" w:cs="Arial"/>
        </w:rPr>
        <w:t xml:space="preserve">dbor správy obecního majetku tuto informaci Komisi pro sociálně bytové otázky, a může být podkladem k přehodnocení původního rozhodnutí. </w:t>
      </w:r>
    </w:p>
    <w:p w:rsidR="001E2868" w:rsidRPr="000338C2" w:rsidRDefault="001E2868" w:rsidP="001E2868">
      <w:pPr>
        <w:ind w:left="426"/>
        <w:jc w:val="both"/>
        <w:rPr>
          <w:rFonts w:ascii="Arial" w:hAnsi="Arial" w:cs="Arial"/>
        </w:rPr>
      </w:pPr>
    </w:p>
    <w:p w:rsidR="001E2868" w:rsidRPr="000338C2" w:rsidRDefault="001E2868" w:rsidP="001E2868">
      <w:pPr>
        <w:ind w:left="426"/>
        <w:jc w:val="both"/>
        <w:rPr>
          <w:rFonts w:ascii="Arial" w:hAnsi="Arial" w:cs="Arial"/>
        </w:rPr>
      </w:pPr>
      <w:r w:rsidRPr="000338C2">
        <w:rPr>
          <w:rFonts w:ascii="Arial" w:hAnsi="Arial" w:cs="Arial"/>
        </w:rPr>
        <w:t xml:space="preserve">odst. 2. Pokud Rada městské </w:t>
      </w:r>
      <w:proofErr w:type="gramStart"/>
      <w:r w:rsidRPr="000338C2">
        <w:rPr>
          <w:rFonts w:ascii="Arial" w:hAnsi="Arial" w:cs="Arial"/>
        </w:rPr>
        <w:t>části  Praha</w:t>
      </w:r>
      <w:proofErr w:type="gramEnd"/>
      <w:r w:rsidRPr="000338C2">
        <w:rPr>
          <w:rFonts w:ascii="Arial" w:hAnsi="Arial" w:cs="Arial"/>
        </w:rPr>
        <w:t xml:space="preserve"> 6 pronájem bytu neschválí, žádost spolu s přiloženými doklady bude archivována Úřadem městské části Praha 6.</w:t>
      </w:r>
    </w:p>
    <w:p w:rsidR="001E2868" w:rsidRPr="000338C2" w:rsidRDefault="001E2868" w:rsidP="001E2868">
      <w:pPr>
        <w:ind w:left="180"/>
        <w:jc w:val="both"/>
        <w:rPr>
          <w:rFonts w:ascii="Arial" w:hAnsi="Arial" w:cs="Arial"/>
          <w:i/>
        </w:rPr>
      </w:pPr>
      <w:r w:rsidRPr="000338C2">
        <w:rPr>
          <w:rFonts w:ascii="Arial" w:hAnsi="Arial" w:cs="Arial"/>
          <w:i/>
        </w:rPr>
        <w:t xml:space="preserve"> </w:t>
      </w:r>
    </w:p>
    <w:p w:rsidR="001E2868" w:rsidRDefault="001E2868" w:rsidP="001E2868">
      <w:pPr>
        <w:ind w:left="426"/>
        <w:jc w:val="both"/>
        <w:rPr>
          <w:rFonts w:ascii="Arial" w:hAnsi="Arial" w:cs="Arial"/>
        </w:rPr>
      </w:pPr>
      <w:r w:rsidRPr="000338C2">
        <w:rPr>
          <w:rFonts w:ascii="Arial" w:hAnsi="Arial" w:cs="Arial"/>
        </w:rPr>
        <w:t>odst. 3.  Novou žádost o pronájem bytu nebo žádost o nové projednání již podané žádosti projedná Komise pro sociálně bytové otázky Rady městské části Praha 6 jen tehdy, je-li doložena novými skutečnostmi v sociálně bytové situaci občana</w:t>
      </w:r>
      <w:r>
        <w:rPr>
          <w:rFonts w:ascii="Arial" w:hAnsi="Arial" w:cs="Arial"/>
        </w:rPr>
        <w:t>,</w:t>
      </w:r>
      <w:r w:rsidRPr="000338C2">
        <w:rPr>
          <w:rFonts w:ascii="Arial" w:hAnsi="Arial" w:cs="Arial"/>
        </w:rPr>
        <w:t xml:space="preserve"> nebo je-li podána nejdříve po 1 roce ode dne, kdy o dříve podané žádosti rozhodla Rada městské části Praha 6 negativně.</w:t>
      </w:r>
    </w:p>
    <w:p w:rsidR="001E2868" w:rsidRDefault="001E2868" w:rsidP="001E2868">
      <w:pPr>
        <w:ind w:left="426"/>
        <w:jc w:val="both"/>
        <w:rPr>
          <w:rFonts w:ascii="Arial" w:hAnsi="Arial" w:cs="Arial"/>
        </w:rPr>
      </w:pPr>
    </w:p>
    <w:p w:rsidR="001E2868" w:rsidRDefault="001E2868" w:rsidP="001E2868">
      <w:pPr>
        <w:ind w:left="426"/>
        <w:jc w:val="both"/>
        <w:rPr>
          <w:rFonts w:ascii="Arial" w:hAnsi="Arial" w:cs="Arial"/>
        </w:rPr>
      </w:pPr>
    </w:p>
    <w:p w:rsidR="005079FF" w:rsidRDefault="005079FF"/>
    <w:sectPr w:rsidR="0050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50" w:rsidRDefault="00CF0F50" w:rsidP="001E2868">
      <w:r>
        <w:separator/>
      </w:r>
    </w:p>
  </w:endnote>
  <w:endnote w:type="continuationSeparator" w:id="0">
    <w:p w:rsidR="00CF0F50" w:rsidRDefault="00CF0F50" w:rsidP="001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50" w:rsidRDefault="00CF0F50" w:rsidP="001E2868">
      <w:r>
        <w:separator/>
      </w:r>
    </w:p>
  </w:footnote>
  <w:footnote w:type="continuationSeparator" w:id="0">
    <w:p w:rsidR="00CF0F50" w:rsidRDefault="00CF0F50" w:rsidP="001E2868">
      <w:r>
        <w:continuationSeparator/>
      </w:r>
    </w:p>
  </w:footnote>
  <w:footnote w:id="1">
    <w:p w:rsidR="001E2868" w:rsidRDefault="001E2868" w:rsidP="001E2868">
      <w:pPr>
        <w:pStyle w:val="Textpoznpodarou"/>
      </w:pPr>
      <w:r>
        <w:rPr>
          <w:rStyle w:val="Znakapoznpodarou"/>
        </w:rPr>
        <w:footnoteRef/>
      </w:r>
      <w:r>
        <w:t xml:space="preserve"> Kterýkoliv Katastrální úřad vydá výpis vlastnictví nemovitého majetku v ČR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88E"/>
    <w:multiLevelType w:val="hybridMultilevel"/>
    <w:tmpl w:val="F03A7FF0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4D2D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141F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63748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3935D11"/>
    <w:multiLevelType w:val="hybridMultilevel"/>
    <w:tmpl w:val="821E3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68"/>
    <w:rsid w:val="001E2868"/>
    <w:rsid w:val="003350FD"/>
    <w:rsid w:val="005079FF"/>
    <w:rsid w:val="006B7E43"/>
    <w:rsid w:val="007C3424"/>
    <w:rsid w:val="00957E24"/>
    <w:rsid w:val="00A81DEF"/>
    <w:rsid w:val="00CF0F50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2868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E28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E28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2868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Textvbloku">
    <w:name w:val="Block Text"/>
    <w:basedOn w:val="Normln"/>
    <w:rsid w:val="001E2868"/>
    <w:pPr>
      <w:ind w:left="-360" w:right="-288"/>
    </w:pPr>
    <w:rPr>
      <w:rFonts w:ascii="Arial" w:hAnsi="Arial" w:cs="Arial"/>
      <w:snapToGrid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1E28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2868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E28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2868"/>
    <w:pPr>
      <w:spacing w:after="120"/>
      <w:ind w:left="283"/>
    </w:pPr>
    <w:rPr>
      <w:snapToGrid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E28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E28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E2868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paragraph" w:styleId="Textvbloku">
    <w:name w:val="Block Text"/>
    <w:basedOn w:val="Normln"/>
    <w:rsid w:val="001E2868"/>
    <w:pPr>
      <w:ind w:left="-360" w:right="-288"/>
    </w:pPr>
    <w:rPr>
      <w:rFonts w:ascii="Arial" w:hAnsi="Arial" w:cs="Arial"/>
      <w:snapToGrid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1E28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2868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E28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 Bc.</dc:creator>
  <cp:lastModifiedBy>Dagmar Ludvíková</cp:lastModifiedBy>
  <cp:revision>2</cp:revision>
  <dcterms:created xsi:type="dcterms:W3CDTF">2017-08-30T12:10:00Z</dcterms:created>
  <dcterms:modified xsi:type="dcterms:W3CDTF">2017-08-30T12:10:00Z</dcterms:modified>
</cp:coreProperties>
</file>